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597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pStyle w:val="597"/>
        <w:jc w:val="right"/>
        <w:rPr>
          <w:b/>
        </w:rPr>
      </w:pPr>
      <w:r>
        <w:rPr>
          <w:b/>
        </w:rPr>
        <w:t xml:space="preserve">Приложение № </w:t>
      </w:r>
      <w:r>
        <w:rPr>
          <w:b/>
        </w:rPr>
        <w:t xml:space="preserve">4</w:t>
      </w:r>
      <w:r>
        <w:rPr>
          <w:b/>
        </w:rPr>
      </w:r>
      <w:r/>
    </w:p>
    <w:p>
      <w:pPr>
        <w:pStyle w:val="59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пояснительной записке к решению Совета депутатов</w:t>
      </w:r>
      <w:r/>
    </w:p>
    <w:p>
      <w:pPr>
        <w:pStyle w:val="59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Ордынского района Новосибирской области</w:t>
      </w:r>
      <w:r/>
    </w:p>
    <w:p>
      <w:pPr>
        <w:pStyle w:val="59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</w:t>
      </w:r>
      <w:r>
        <w:rPr>
          <w:sz w:val="20"/>
          <w:szCs w:val="20"/>
        </w:rPr>
        <w:t xml:space="preserve">б</w:t>
      </w:r>
      <w:r>
        <w:rPr>
          <w:sz w:val="20"/>
          <w:szCs w:val="20"/>
        </w:rPr>
        <w:t xml:space="preserve"> исполнении бюджета Ордынского района</w:t>
      </w:r>
      <w:r/>
    </w:p>
    <w:p>
      <w:pPr>
        <w:pStyle w:val="59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Новосибирской области за 20</w:t>
      </w:r>
      <w:r>
        <w:rPr>
          <w:sz w:val="20"/>
          <w:szCs w:val="20"/>
        </w:rPr>
        <w:t xml:space="preserve">2</w:t>
      </w:r>
      <w:r>
        <w:rPr>
          <w:sz w:val="20"/>
          <w:szCs w:val="20"/>
        </w:rPr>
        <w:t xml:space="preserve">2 год»</w:t>
      </w:r>
      <w:r/>
    </w:p>
    <w:p>
      <w:pPr>
        <w:pStyle w:val="59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__</w:t>
      </w:r>
      <w:r>
        <w:rPr>
          <w:sz w:val="20"/>
          <w:szCs w:val="20"/>
        </w:rPr>
        <w:t xml:space="preserve">______</w:t>
      </w:r>
      <w:r>
        <w:rPr>
          <w:sz w:val="20"/>
          <w:szCs w:val="20"/>
        </w:rPr>
        <w:t xml:space="preserve">___</w:t>
      </w:r>
      <w:r>
        <w:rPr>
          <w:sz w:val="20"/>
          <w:szCs w:val="20"/>
        </w:rPr>
        <w:t xml:space="preserve">_____</w:t>
      </w:r>
      <w:r>
        <w:rPr>
          <w:sz w:val="20"/>
          <w:szCs w:val="20"/>
        </w:rPr>
        <w:t xml:space="preserve"> № ___</w:t>
      </w:r>
      <w:r>
        <w:rPr>
          <w:sz w:val="20"/>
          <w:szCs w:val="20"/>
        </w:rPr>
      </w:r>
      <w:r/>
    </w:p>
    <w:p>
      <w:pPr>
        <w:pStyle w:val="60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pStyle w:val="60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Расшифровка</w:t>
      </w:r>
      <w:r/>
    </w:p>
    <w:p>
      <w:pPr>
        <w:pStyle w:val="60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коду бюджетной классификации доходов </w:t>
      </w:r>
      <w:r>
        <w:rPr>
          <w:rFonts w:ascii="Times New Roman" w:hAnsi="Times New Roman" w:cs="Times New Roman"/>
          <w:sz w:val="24"/>
          <w:szCs w:val="24"/>
        </w:rPr>
        <w:t xml:space="preserve">444</w:t>
      </w:r>
      <w:r>
        <w:rPr>
          <w:rFonts w:ascii="Times New Roman" w:hAnsi="Times New Roman" w:cs="Times New Roman"/>
          <w:sz w:val="24"/>
          <w:szCs w:val="24"/>
        </w:rPr>
        <w:t xml:space="preserve"> 2 02 </w:t>
      </w:r>
      <w:r>
        <w:rPr>
          <w:rFonts w:ascii="Times New Roman" w:hAnsi="Times New Roman" w:cs="Times New Roman"/>
          <w:sz w:val="24"/>
          <w:szCs w:val="24"/>
        </w:rPr>
        <w:t xml:space="preserve">29</w:t>
      </w:r>
      <w:r>
        <w:rPr>
          <w:rFonts w:ascii="Times New Roman" w:hAnsi="Times New Roman" w:cs="Times New Roman"/>
          <w:sz w:val="24"/>
          <w:szCs w:val="24"/>
        </w:rPr>
        <w:t xml:space="preserve">999 0</w:t>
      </w:r>
      <w:r>
        <w:rPr>
          <w:rFonts w:ascii="Times New Roman" w:hAnsi="Times New Roman" w:cs="Times New Roman"/>
          <w:sz w:val="24"/>
          <w:szCs w:val="24"/>
        </w:rPr>
        <w:t xml:space="preserve">0</w:t>
      </w:r>
      <w:r>
        <w:rPr>
          <w:rFonts w:ascii="Times New Roman" w:hAnsi="Times New Roman" w:cs="Times New Roman"/>
          <w:sz w:val="24"/>
          <w:szCs w:val="24"/>
        </w:rPr>
        <w:t xml:space="preserve"> 0000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15</w:t>
      </w:r>
      <w:r>
        <w:rPr>
          <w:rFonts w:ascii="Times New Roman" w:hAnsi="Times New Roman" w:cs="Times New Roman"/>
          <w:sz w:val="24"/>
          <w:szCs w:val="24"/>
        </w:rPr>
        <w:t xml:space="preserve">0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60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«прочие субсидии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/>
    </w:p>
    <w:p>
      <w:pPr>
        <w:pStyle w:val="597"/>
      </w:pPr>
      <w:r/>
      <w:r/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3165"/>
        <w:gridCol w:w="1763"/>
        <w:gridCol w:w="4783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5" w:type="dxa"/>
            <w:vAlign w:val="top"/>
            <w:textDirection w:val="lrTb"/>
            <w:noWrap w:val="false"/>
          </w:tcPr>
          <w:p>
            <w:pPr>
              <w:pStyle w:val="597"/>
              <w:jc w:val="center"/>
            </w:pPr>
            <w:r>
              <w:t xml:space="preserve">код бюджетной классификации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3" w:type="dxa"/>
            <w:vAlign w:val="top"/>
            <w:textDirection w:val="lrTb"/>
            <w:noWrap w:val="false"/>
          </w:tcPr>
          <w:p>
            <w:pPr>
              <w:pStyle w:val="597"/>
              <w:jc w:val="center"/>
            </w:pPr>
            <w:r>
              <w:t xml:space="preserve">сумма, руб.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3" w:type="dxa"/>
            <w:vAlign w:val="top"/>
            <w:textDirection w:val="lrTb"/>
            <w:noWrap w:val="false"/>
          </w:tcPr>
          <w:p>
            <w:pPr>
              <w:pStyle w:val="597"/>
              <w:jc w:val="center"/>
            </w:pPr>
            <w:r>
              <w:t xml:space="preserve">примечание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5" w:type="dxa"/>
            <w:vAlign w:val="top"/>
            <w:textDirection w:val="lrTb"/>
            <w:noWrap w:val="false"/>
          </w:tcPr>
          <w:p>
            <w:pPr>
              <w:pStyle w:val="597"/>
            </w:pPr>
            <w:r>
              <w:t xml:space="preserve">444</w:t>
            </w:r>
            <w:r>
              <w:t xml:space="preserve"> 2 02 </w:t>
            </w:r>
            <w:r>
              <w:t xml:space="preserve">29</w:t>
            </w:r>
            <w:r>
              <w:t xml:space="preserve">999 00 0000 15</w:t>
            </w:r>
            <w:r>
              <w:t xml:space="preserve">0</w:t>
            </w:r>
            <w:r>
              <w:t xml:space="preserve">   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3" w:type="dxa"/>
            <w:vAlign w:val="top"/>
            <w:textDirection w:val="lrTb"/>
            <w:noWrap w:val="false"/>
          </w:tcPr>
          <w:p>
            <w:pPr>
              <w:pStyle w:val="597"/>
              <w:jc w:val="center"/>
              <w:rPr>
                <w:b/>
              </w:rPr>
            </w:pPr>
            <w:r>
              <w:rPr>
                <w:b/>
              </w:rPr>
              <w:t xml:space="preserve">597 615 924,82</w:t>
            </w:r>
            <w:r>
              <w:rPr>
                <w:b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3" w:type="dxa"/>
            <w:vAlign w:val="top"/>
            <w:textDirection w:val="lrTb"/>
            <w:noWrap w:val="false"/>
          </w:tcPr>
          <w:p>
            <w:pPr>
              <w:pStyle w:val="597"/>
            </w:pPr>
            <w:r>
              <w:t xml:space="preserve">Прочие субсидии</w:t>
            </w:r>
            <w:r>
              <w:t xml:space="preserve">         </w:t>
            </w:r>
            <w:r/>
          </w:p>
        </w:tc>
      </w:tr>
      <w:tr>
        <w:trPr>
          <w:trHeight w:val="9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5" w:type="dxa"/>
            <w:vAlign w:val="top"/>
            <w:textDirection w:val="lrTb"/>
            <w:noWrap w:val="false"/>
          </w:tcPr>
          <w:p>
            <w:pPr>
              <w:pStyle w:val="597"/>
            </w:pPr>
            <w:r>
              <w:t xml:space="preserve">444</w:t>
            </w:r>
            <w:r>
              <w:t xml:space="preserve"> 2 02 </w:t>
            </w:r>
            <w:r>
              <w:t xml:space="preserve">29</w:t>
            </w:r>
            <w:r>
              <w:t xml:space="preserve">999 05 0000 15</w:t>
            </w:r>
            <w:r>
              <w:t xml:space="preserve">0</w:t>
            </w:r>
            <w:r>
              <w:t xml:space="preserve">   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3" w:type="dxa"/>
            <w:vAlign w:val="top"/>
            <w:textDirection w:val="lrTb"/>
            <w:noWrap w:val="false"/>
          </w:tcPr>
          <w:p>
            <w:pPr>
              <w:pStyle w:val="597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  <w:t xml:space="preserve">597 615 924,82</w:t>
            </w:r>
            <w:r/>
            <w:r>
              <w:rPr>
                <w:b/>
              </w:rPr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3" w:type="dxa"/>
            <w:vAlign w:val="top"/>
            <w:textDirection w:val="lrTb"/>
            <w:noWrap w:val="false"/>
          </w:tcPr>
          <w:p>
            <w:pPr>
              <w:pStyle w:val="597"/>
            </w:pPr>
            <w:r>
              <w:t xml:space="preserve">Прочие субсидии бюджетам муниципальных районов, в том числе:</w:t>
            </w:r>
            <w:r/>
          </w:p>
          <w:p>
            <w:pPr>
              <w:pStyle w:val="597"/>
              <w:jc w:val="both"/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b/>
                <w:sz w:val="20"/>
                <w:szCs w:val="20"/>
              </w:rPr>
              <w:t xml:space="preserve"> </w:t>
            </w:r>
            <w:r>
              <w:rPr>
                <w:b/>
                <w:sz w:val="20"/>
                <w:szCs w:val="20"/>
              </w:rPr>
              <w:t xml:space="preserve">149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500</w:t>
            </w:r>
            <w:r>
              <w:rPr>
                <w:b/>
                <w:sz w:val="20"/>
                <w:szCs w:val="20"/>
              </w:rPr>
              <w:t xml:space="preserve">,00</w:t>
            </w:r>
            <w:r>
              <w:rPr>
                <w:sz w:val="20"/>
                <w:szCs w:val="20"/>
              </w:rPr>
              <w:t xml:space="preserve">-</w:t>
            </w:r>
            <w:r>
              <w:rPr>
                <w:sz w:val="20"/>
                <w:szCs w:val="20"/>
              </w:rPr>
              <w:t xml:space="preserve">Субсидия на оздоровление детей в рамках гос. программы НСО «Развитие системы соц. поддержки населения и улучшение соц. положения семей с детьми в НСО»</w:t>
            </w:r>
            <w:r>
              <w:rPr>
                <w:sz w:val="20"/>
                <w:szCs w:val="20"/>
              </w:rPr>
              <w:t xml:space="preserve">;</w:t>
            </w:r>
            <w:r>
              <w:rPr>
                <w:sz w:val="20"/>
                <w:szCs w:val="20"/>
              </w:rPr>
            </w:r>
            <w:r/>
          </w:p>
          <w:p>
            <w:pPr>
              <w:pStyle w:val="597"/>
              <w:jc w:val="both"/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4 929 340,00</w:t>
            </w:r>
            <w:r>
              <w:rPr>
                <w:sz w:val="20"/>
                <w:szCs w:val="20"/>
              </w:rPr>
              <w:t xml:space="preserve">-</w:t>
            </w:r>
            <w:r>
              <w:rPr>
                <w:sz w:val="20"/>
                <w:szCs w:val="20"/>
              </w:rPr>
              <w:t xml:space="preserve">Субсидия на 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"Развитие системы социальной поддержки населения и улучшение социального положения </w:t>
            </w:r>
            <w:r/>
          </w:p>
          <w:p>
            <w:pPr>
              <w:pStyle w:val="597"/>
              <w:jc w:val="both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семей с детьми в НСО</w:t>
            </w:r>
            <w:r>
              <w:rPr>
                <w:sz w:val="20"/>
                <w:szCs w:val="20"/>
                <w:shd w:val="clear" w:color="auto" w:fill="ffffff"/>
              </w:rPr>
              <w:t xml:space="preserve">;</w:t>
            </w:r>
            <w:r>
              <w:rPr>
                <w:sz w:val="20"/>
                <w:szCs w:val="20"/>
              </w:rPr>
            </w:r>
            <w:r/>
          </w:p>
          <w:p>
            <w:pPr>
              <w:pStyle w:val="597"/>
              <w:jc w:val="both"/>
              <w:shd w:val="clear" w:color="auto" w:fill="ffffff"/>
              <w:rPr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</w:rPr>
              <w:t xml:space="preserve">589</w:t>
            </w:r>
            <w:r>
              <w:rPr>
                <w:b/>
                <w:sz w:val="20"/>
                <w:szCs w:val="20"/>
              </w:rPr>
              <w:t xml:space="preserve"> </w:t>
            </w:r>
            <w:r>
              <w:rPr>
                <w:b/>
                <w:sz w:val="20"/>
                <w:szCs w:val="20"/>
              </w:rPr>
              <w:t xml:space="preserve">0</w:t>
            </w:r>
            <w:r>
              <w:rPr>
                <w:b/>
                <w:sz w:val="20"/>
                <w:szCs w:val="20"/>
              </w:rPr>
              <w:t xml:space="preserve">00,00- </w:t>
            </w:r>
            <w:r>
              <w:rPr>
                <w:sz w:val="20"/>
                <w:szCs w:val="20"/>
              </w:rPr>
              <w:t xml:space="preserve">Субсидии местным бюджетам на софинансирование мероприятий муниципальных программ развития по реализации территориального общественного самоуправления в Новосибирской области;</w:t>
            </w:r>
            <w:r/>
          </w:p>
          <w:p>
            <w:pPr>
              <w:jc w:val="both"/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none"/>
              </w:rPr>
              <w:t xml:space="preserve">585 850,00</w:t>
            </w:r>
            <w:r>
              <w:rPr>
                <w:sz w:val="20"/>
                <w:szCs w:val="20"/>
                <w:highlight w:val="none"/>
              </w:rPr>
              <w:t xml:space="preserve">- Субсидии на </w:t>
            </w:r>
            <w:r>
              <w:rPr>
                <w:sz w:val="20"/>
                <w:szCs w:val="20"/>
                <w:highlight w:val="none"/>
              </w:rPr>
              <w:t xml:space="preserve">финансирование расходов на подготовку градостроительной документации и (или) внесение изменений в нее</w:t>
            </w:r>
            <w:r>
              <w:rPr>
                <w:sz w:val="20"/>
                <w:szCs w:val="20"/>
                <w:highlight w:val="none"/>
              </w:rPr>
              <w:t xml:space="preserve">;</w:t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597"/>
              <w:jc w:val="both"/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500 000,00</w:t>
            </w:r>
            <w:r>
              <w:rPr>
                <w:sz w:val="20"/>
                <w:szCs w:val="20"/>
              </w:rPr>
              <w:t xml:space="preserve">- Субсидии на </w:t>
            </w:r>
            <w:r>
              <w:rPr>
                <w:sz w:val="20"/>
                <w:szCs w:val="20"/>
              </w:rPr>
              <w:t xml:space="preserve"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</w:t>
            </w:r>
            <w:r>
              <w:rPr>
                <w:sz w:val="20"/>
                <w:szCs w:val="20"/>
              </w:rPr>
              <w:t xml:space="preserve">;</w:t>
            </w:r>
            <w:r>
              <w:rPr>
                <w:sz w:val="20"/>
                <w:szCs w:val="20"/>
              </w:rPr>
            </w:r>
            <w:r/>
          </w:p>
          <w:p>
            <w:pPr>
              <w:pStyle w:val="597"/>
              <w:jc w:val="both"/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925</w:t>
            </w:r>
            <w:r>
              <w:rPr>
                <w:b/>
                <w:sz w:val="20"/>
                <w:szCs w:val="20"/>
              </w:rPr>
              <w:t xml:space="preserve"> 600,00</w:t>
            </w:r>
            <w:r>
              <w:rPr>
                <w:sz w:val="20"/>
                <w:szCs w:val="20"/>
              </w:rPr>
              <w:t xml:space="preserve">-</w:t>
            </w:r>
            <w:r>
              <w:t xml:space="preserve"> Субсидии на </w:t>
            </w:r>
            <w:r>
              <w:rPr>
                <w:sz w:val="20"/>
                <w:szCs w:val="20"/>
              </w:rPr>
              <w:t xml:space="preserve">ресурсное обеспечение модернизации образования Новосибирской области</w:t>
            </w:r>
            <w:r>
              <w:rPr>
                <w:sz w:val="20"/>
                <w:szCs w:val="20"/>
              </w:rPr>
              <w:t xml:space="preserve">"</w:t>
            </w:r>
            <w:r>
              <w:rPr>
                <w:sz w:val="20"/>
                <w:szCs w:val="20"/>
              </w:rPr>
              <w:t xml:space="preserve">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597"/>
              <w:jc w:val="both"/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461 300</w:t>
            </w:r>
            <w:r>
              <w:rPr>
                <w:b/>
                <w:sz w:val="20"/>
                <w:szCs w:val="20"/>
              </w:rPr>
              <w:t xml:space="preserve">,00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–</w:t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Комплектование библиотечных фондов муниципальных общедоступных библиотек Новосибирской области</w:t>
            </w:r>
            <w:r>
              <w:rPr>
                <w:sz w:val="20"/>
                <w:szCs w:val="20"/>
              </w:rPr>
              <w:t xml:space="preserve">;</w:t>
            </w:r>
            <w:r/>
          </w:p>
          <w:p>
            <w:pPr>
              <w:pStyle w:val="597"/>
              <w:jc w:val="both"/>
              <w:shd w:val="clear" w:color="auto" w:fill="ffffff"/>
              <w:rPr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</w:rPr>
              <w:t xml:space="preserve">500 000,00</w:t>
            </w:r>
            <w:r>
              <w:rPr>
                <w:sz w:val="20"/>
                <w:szCs w:val="20"/>
              </w:rPr>
              <w:t xml:space="preserve">- Субсидии на </w:t>
            </w:r>
            <w:r>
              <w:rPr>
                <w:sz w:val="20"/>
                <w:szCs w:val="20"/>
              </w:rPr>
              <w:t xml:space="preserve">установку и модернизацию систем видеонаблюдения, автоматической пожарной сигнализации и пожарного мониторинга в государственных и муниципальных учреждениях</w:t>
            </w:r>
            <w:r>
              <w:rPr>
                <w:sz w:val="20"/>
                <w:szCs w:val="20"/>
              </w:rPr>
              <w:t xml:space="preserve">;</w:t>
            </w:r>
            <w:r>
              <w:rPr>
                <w:sz w:val="20"/>
                <w:szCs w:val="20"/>
              </w:rPr>
            </w:r>
            <w:r/>
          </w:p>
          <w:p>
            <w:pPr>
              <w:jc w:val="both"/>
              <w:shd w:val="clear" w:color="auto" w:fill="ffffff"/>
              <w:rPr>
                <w:b w:val="0"/>
                <w:bCs w:val="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none"/>
              </w:rPr>
              <w:t xml:space="preserve">1 729 065,77- 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Субсидии на</w:t>
            </w:r>
            <w:r>
              <w:rPr>
                <w:b/>
                <w:bCs/>
                <w:sz w:val="20"/>
                <w:szCs w:val="20"/>
                <w:highlight w:val="none"/>
              </w:rPr>
              <w:t xml:space="preserve"> 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осуществление полномочий по организации регулярных перевозок пассажиров и багажа по муниципальным маршрутам;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</w:r>
          </w:p>
          <w:p>
            <w:pPr>
              <w:pStyle w:val="597"/>
              <w:jc w:val="both"/>
              <w:shd w:val="clear" w:color="auto" w:fill="ffffff"/>
              <w:rPr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441 292 800,00- </w:t>
            </w:r>
            <w:r>
              <w:rPr>
                <w:sz w:val="20"/>
                <w:szCs w:val="20"/>
              </w:rPr>
              <w:t xml:space="preserve">Субсидии на реализацию мероприятий по обеспечению сбалансированности местных бюджетов в рамках государственной программы Новос</w:t>
            </w:r>
            <w:r>
              <w:rPr>
                <w:sz w:val="20"/>
                <w:szCs w:val="20"/>
              </w:rPr>
              <w:t xml:space="preserve">ибирской области "Управление финансами в Новосибирской области "</w:t>
            </w:r>
            <w:r>
              <w:rPr>
                <w:sz w:val="20"/>
                <w:szCs w:val="20"/>
              </w:rPr>
              <w:t xml:space="preserve">;</w:t>
            </w:r>
            <w:r>
              <w:rPr>
                <w:b/>
                <w:sz w:val="20"/>
                <w:szCs w:val="20"/>
              </w:rPr>
            </w:r>
            <w:r/>
          </w:p>
          <w:p>
            <w:pPr>
              <w:jc w:val="both"/>
              <w:shd w:val="clear" w:color="auto" w:fill="ffff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none"/>
              </w:rPr>
              <w:t xml:space="preserve">2 377 170,00</w:t>
            </w:r>
            <w:r>
              <w:rPr>
                <w:sz w:val="20"/>
                <w:szCs w:val="20"/>
                <w:highlight w:val="none"/>
              </w:rPr>
              <w:t xml:space="preserve">- Субсидии на </w:t>
            </w:r>
            <w:r>
              <w:rPr>
                <w:sz w:val="20"/>
                <w:szCs w:val="20"/>
                <w:highlight w:val="none"/>
              </w:rPr>
              <w:t xml:space="preserve">приобретение (обновление) транспортных средств автомобильного и наземного электрического общественного пассажирского транспорта, используемого для работы на муниципальных маршрутах по регулируемым тарифам и на межмуниципальных маршрутах регулярных перевозок</w:t>
            </w:r>
            <w:r>
              <w:rPr>
                <w:sz w:val="20"/>
                <w:szCs w:val="20"/>
                <w:highlight w:val="none"/>
              </w:rPr>
              <w:t xml:space="preserve"> во внутриобластном сообщении с предоставлением права льготного проезда;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597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8 </w:t>
            </w:r>
            <w:r>
              <w:rPr>
                <w:b/>
                <w:sz w:val="20"/>
                <w:szCs w:val="20"/>
              </w:rPr>
              <w:t xml:space="preserve">000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000</w:t>
            </w:r>
            <w:r>
              <w:rPr>
                <w:b/>
                <w:sz w:val="20"/>
                <w:szCs w:val="20"/>
              </w:rPr>
              <w:t xml:space="preserve">,00</w:t>
            </w:r>
            <w:r>
              <w:rPr>
                <w:b/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С</w:t>
            </w:r>
            <w:r>
              <w:rPr>
                <w:sz w:val="20"/>
                <w:szCs w:val="20"/>
              </w:rPr>
              <w:t xml:space="preserve">убсиди</w:t>
            </w:r>
            <w:r>
              <w:rPr>
                <w:sz w:val="20"/>
                <w:szCs w:val="20"/>
              </w:rPr>
              <w:t xml:space="preserve">и</w:t>
            </w:r>
            <w:r>
              <w:rPr>
                <w:sz w:val="20"/>
                <w:szCs w:val="20"/>
              </w:rPr>
              <w:t xml:space="preserve">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"Цифровая трансформация Новосибирской области"</w:t>
            </w:r>
            <w:r>
              <w:rPr>
                <w:sz w:val="20"/>
                <w:szCs w:val="20"/>
              </w:rPr>
              <w:t xml:space="preserve">;</w:t>
            </w:r>
            <w:r/>
          </w:p>
          <w:p>
            <w:pPr>
              <w:pStyle w:val="597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8 411 0</w:t>
            </w:r>
            <w:r>
              <w:rPr>
                <w:b/>
                <w:sz w:val="20"/>
                <w:szCs w:val="20"/>
              </w:rPr>
              <w:t xml:space="preserve">00</w:t>
            </w:r>
            <w:r>
              <w:rPr>
                <w:b/>
                <w:sz w:val="20"/>
                <w:szCs w:val="20"/>
              </w:rPr>
              <w:t xml:space="preserve">,</w:t>
            </w:r>
            <w:r>
              <w:rPr>
                <w:b/>
                <w:sz w:val="20"/>
                <w:szCs w:val="20"/>
              </w:rPr>
              <w:t xml:space="preserve">00</w:t>
            </w: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Субсидия на выполнение расходных обязательств в части снабжения населения топливом</w:t>
            </w:r>
            <w:r>
              <w:rPr>
                <w:sz w:val="20"/>
                <w:szCs w:val="20"/>
              </w:rPr>
              <w:t xml:space="preserve">;</w:t>
            </w:r>
            <w:r/>
          </w:p>
          <w:p>
            <w:pPr>
              <w:pStyle w:val="597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103 129 188,00</w:t>
            </w:r>
            <w:r>
              <w:rPr>
                <w:sz w:val="20"/>
                <w:szCs w:val="20"/>
              </w:rPr>
              <w:t xml:space="preserve">- С</w:t>
            </w:r>
            <w:r>
              <w:rPr>
                <w:sz w:val="20"/>
                <w:szCs w:val="20"/>
              </w:rPr>
              <w:t xml:space="preserve">убсиди</w:t>
            </w:r>
            <w:r>
              <w:rPr>
                <w:sz w:val="20"/>
                <w:szCs w:val="20"/>
              </w:rPr>
              <w:t xml:space="preserve">и</w:t>
            </w:r>
            <w:r>
              <w:rPr>
                <w:sz w:val="20"/>
                <w:szCs w:val="20"/>
              </w:rPr>
              <w:t xml:space="preserve"> на реализацию мероприятий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</w:t>
            </w:r>
            <w:r>
              <w:rPr>
                <w:sz w:val="20"/>
                <w:szCs w:val="20"/>
              </w:rPr>
              <w:t xml:space="preserve">коммунальное хозяйство Новосибирской области"</w:t>
            </w:r>
            <w:r>
              <w:rPr>
                <w:sz w:val="20"/>
                <w:szCs w:val="20"/>
              </w:rPr>
              <w:t xml:space="preserve">;</w:t>
            </w:r>
            <w:r/>
          </w:p>
          <w:p>
            <w:pPr>
              <w:pStyle w:val="597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20 036 111,05</w:t>
            </w:r>
            <w:r>
              <w:rPr>
                <w:sz w:val="20"/>
                <w:szCs w:val="20"/>
              </w:rPr>
              <w:t xml:space="preserve">-</w:t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Субсидия на реализацию меро</w:t>
            </w:r>
            <w:r>
              <w:rPr>
                <w:sz w:val="20"/>
                <w:szCs w:val="20"/>
              </w:rPr>
              <w:t xml:space="preserve">п</w:t>
            </w:r>
            <w:r>
              <w:rPr>
                <w:sz w:val="20"/>
                <w:szCs w:val="20"/>
              </w:rPr>
              <w:t xml:space="preserve">риятий по</w:t>
            </w:r>
            <w:r>
              <w:rPr>
                <w:sz w:val="20"/>
                <w:szCs w:val="20"/>
              </w:rPr>
              <w:t xml:space="preserve"> бесперебойной работе</w:t>
            </w:r>
            <w:r>
              <w:rPr>
                <w:sz w:val="20"/>
                <w:szCs w:val="20"/>
              </w:rPr>
              <w:t xml:space="preserve"> объектов жизнедеятельности подпрограммы "Безопасность жилищно-коммунального хозяйства" в рамках гос. программы НСО "Жилищно-коммунальное хозяйства НСО"</w:t>
            </w:r>
            <w:r>
              <w:rPr>
                <w:sz w:val="20"/>
                <w:szCs w:val="20"/>
              </w:rPr>
            </w:r>
            <w:r/>
          </w:p>
          <w:p>
            <w:pPr>
              <w:pStyle w:val="59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</w:tbl>
    <w:sectPr>
      <w:footnotePr/>
      <w:endnotePr/>
      <w:type w:val="nextPage"/>
      <w:pgSz w:w="11906" w:h="16838" w:orient="portrait"/>
      <w:pgMar w:top="426" w:right="851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7"/>
    <w:next w:val="597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7"/>
    <w:next w:val="597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7"/>
    <w:next w:val="597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7"/>
    <w:next w:val="597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7"/>
    <w:next w:val="597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7"/>
    <w:next w:val="597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7"/>
    <w:next w:val="597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7"/>
    <w:next w:val="597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7"/>
    <w:next w:val="597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597"/>
    <w:uiPriority w:val="34"/>
    <w:qFormat/>
    <w:pPr>
      <w:contextualSpacing/>
      <w:ind w:left="720"/>
    </w:p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597"/>
    <w:next w:val="597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597"/>
    <w:next w:val="597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597"/>
    <w:next w:val="597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7"/>
    <w:next w:val="597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7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597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597"/>
    <w:next w:val="5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7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597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597"/>
    <w:next w:val="597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7"/>
    <w:next w:val="597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7"/>
    <w:next w:val="597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7"/>
    <w:next w:val="597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7"/>
    <w:next w:val="597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7"/>
    <w:next w:val="597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7"/>
    <w:next w:val="597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7"/>
    <w:next w:val="597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7"/>
    <w:next w:val="597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7"/>
    <w:next w:val="597"/>
    <w:uiPriority w:val="99"/>
    <w:unhideWhenUsed/>
    <w:pPr>
      <w:spacing w:after="0" w:afterAutospacing="0"/>
    </w:pPr>
  </w:style>
  <w:style w:type="paragraph" w:styleId="597" w:default="1">
    <w:name w:val="Normal"/>
    <w:next w:val="597"/>
    <w:link w:val="597"/>
    <w:qFormat/>
    <w:rPr>
      <w:sz w:val="24"/>
      <w:szCs w:val="24"/>
      <w:lang w:val="ru-RU" w:eastAsia="ru-RU" w:bidi="ar-SA"/>
    </w:rPr>
  </w:style>
  <w:style w:type="character" w:styleId="598">
    <w:name w:val="Основной шрифт абзаца"/>
    <w:next w:val="598"/>
    <w:link w:val="597"/>
    <w:semiHidden/>
  </w:style>
  <w:style w:type="table" w:styleId="599">
    <w:name w:val="Обычная таблица"/>
    <w:next w:val="599"/>
    <w:link w:val="597"/>
    <w:semiHidden/>
    <w:tblPr/>
  </w:style>
  <w:style w:type="numbering" w:styleId="600">
    <w:name w:val="Нет списка"/>
    <w:next w:val="600"/>
    <w:link w:val="597"/>
    <w:semiHidden/>
  </w:style>
  <w:style w:type="paragraph" w:styleId="601">
    <w:name w:val="Таблицы (моноширинный)"/>
    <w:basedOn w:val="597"/>
    <w:next w:val="597"/>
    <w:link w:val="597"/>
    <w:pPr>
      <w:jc w:val="both"/>
      <w:widowControl w:val="off"/>
    </w:pPr>
    <w:rPr>
      <w:rFonts w:ascii="Courier New" w:hAnsi="Courier New" w:cs="Courier New"/>
      <w:sz w:val="20"/>
      <w:szCs w:val="20"/>
    </w:rPr>
  </w:style>
  <w:style w:type="table" w:styleId="602">
    <w:name w:val="Сетка таблицы"/>
    <w:basedOn w:val="599"/>
    <w:next w:val="602"/>
    <w:link w:val="597"/>
    <w:tblPr/>
  </w:style>
  <w:style w:type="paragraph" w:styleId="603">
    <w:name w:val="Текст выноски"/>
    <w:basedOn w:val="597"/>
    <w:next w:val="603"/>
    <w:link w:val="604"/>
    <w:rPr>
      <w:rFonts w:ascii="Tahoma" w:hAnsi="Tahoma" w:cs="Tahoma"/>
      <w:sz w:val="16"/>
      <w:szCs w:val="16"/>
    </w:rPr>
  </w:style>
  <w:style w:type="character" w:styleId="604">
    <w:name w:val="Текст выноски Знак"/>
    <w:next w:val="604"/>
    <w:link w:val="603"/>
    <w:rPr>
      <w:rFonts w:ascii="Tahoma" w:hAnsi="Tahoma" w:cs="Tahoma"/>
      <w:sz w:val="16"/>
      <w:szCs w:val="16"/>
    </w:rPr>
  </w:style>
  <w:style w:type="character" w:styleId="932" w:default="1">
    <w:name w:val="Default Paragraph Font"/>
    <w:uiPriority w:val="1"/>
    <w:semiHidden/>
    <w:unhideWhenUsed/>
  </w:style>
  <w:style w:type="numbering" w:styleId="933" w:default="1">
    <w:name w:val="No List"/>
    <w:uiPriority w:val="99"/>
    <w:semiHidden/>
    <w:unhideWhenUsed/>
  </w:style>
  <w:style w:type="table" w:styleId="93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УФ и НП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Реснянская</dc:creator>
  <cp:revision>51</cp:revision>
  <dcterms:created xsi:type="dcterms:W3CDTF">2014-03-19T09:18:00Z</dcterms:created>
  <dcterms:modified xsi:type="dcterms:W3CDTF">2023-03-10T02:11:09Z</dcterms:modified>
  <cp:version>1048576</cp:version>
</cp:coreProperties>
</file>